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151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667512" cy="68691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ugel-tambopata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12" cy="68691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80"/>
            <w:tcMar>
              <w:top w:w="100" w:type="dxa"/>
              <w:start w:w="120" w:type="dxa"/>
              <w:bottom w:w="100" w:type="dxa"/>
              <w:end w:w="80" w:type="dxa"/>
            </w:tcMar>
          </w:tcPr>
          <w:p>
            <w:r>
              <w:rPr>
                <w:rFonts w:ascii="Calibri" w:hAnsi="Calibri"/>
                <w:b/>
                <w:color w:val="073B76"/>
                <w:sz w:val="26"/>
              </w:rPr>
              <w:t>UGEL TAMBOPATA</w:t>
            </w:r>
          </w:p>
          <w:p>
            <w:r>
              <w:rPr>
                <w:rFonts w:ascii="Calibri" w:hAnsi="Calibri"/>
                <w:b w:val="0"/>
                <w:color w:val="5A6A7E"/>
                <w:sz w:val="18"/>
              </w:rPr>
              <w:t>Unidad de Gestión Educativa Local Tambopata</w:t>
            </w:r>
          </w:p>
        </w:tc>
      </w:tr>
    </w:tbl>
    <w:p>
      <w:pPr>
        <w:spacing w:before="440" w:after="100"/>
        <w:jc w:val="center"/>
      </w:pPr>
      <w:r>
        <w:rPr>
          <w:rFonts w:ascii="Calibri" w:hAnsi="Calibri"/>
          <w:b/>
          <w:color w:val="073B76"/>
          <w:sz w:val="46"/>
        </w:rPr>
        <w:t>MANUAL DE USO PARA EL PÚBLICO</w:t>
      </w:r>
    </w:p>
    <w:p>
      <w:pPr>
        <w:spacing w:after="80"/>
        <w:jc w:val="center"/>
      </w:pPr>
      <w:r>
        <w:rPr>
          <w:rFonts w:ascii="Calibri" w:hAnsi="Calibri"/>
          <w:b/>
          <w:color w:val="0B5FA5"/>
          <w:sz w:val="24"/>
        </w:rPr>
        <w:t>SIRED - Sistema de Registro y Evaluación de Desfile</w:t>
      </w:r>
    </w:p>
    <w:p>
      <w:pPr>
        <w:spacing w:after="360"/>
        <w:jc w:val="center"/>
      </w:pPr>
      <w:r>
        <w:rPr>
          <w:rFonts w:ascii="Calibri" w:hAnsi="Calibri"/>
          <w:b w:val="0"/>
          <w:color w:val="5A6A7E"/>
          <w:sz w:val="20"/>
        </w:rPr>
        <w:t>Guía para inscripción, edición, bases y tabla de posiciones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FFF6D8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02B4E"/>
                <w:sz w:val="20"/>
              </w:rPr>
              <w:t>Antes de comenzar: seleccione el año y el evento que corresponda a su institución.</w:t>
            </w:r>
          </w:p>
        </w:tc>
      </w:tr>
    </w:tbl>
    <w:p>
      <w:pPr>
        <w:spacing w:before="360"/>
      </w:pPr>
      <w:r>
        <w:rPr>
          <w:rFonts w:ascii="Calibri" w:hAnsi="Calibri"/>
          <w:b/>
          <w:color w:val="073B76"/>
          <w:sz w:val="28"/>
        </w:rPr>
        <w:t>¿Para qué sirve este manual?</w:t>
      </w:r>
    </w:p>
    <w:p>
      <w:r>
        <w:t>Esta guía explica cómo participar desde la vista pública de SIRED. No necesita una cuenta de usuario: solo debe conservar el código de edición que el sistema genera al finalizar su inscripción.</w:t>
      </w:r>
    </w:p>
    <w:p>
      <w:pPr>
        <w:pStyle w:val="Heading1"/>
      </w:pPr>
      <w:r>
        <w:t>1. Ingresar al año y evento correcto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1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Abra la plataforma SIRED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Ingrese desde el enlace que difunda la UGEL Tambopata. En la página principal encontrará los eventos disponibles.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2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Seleccione el año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Elija el año del concurso, por ejemplo 2026, 2027 u otro que se encuentre habilitado.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3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Seleccione el evento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Elija el evento correspondiente: Fiestas Patrias, Aniversario de Puerto Maldonado, Aniversario de Madre de Dios u otro habilitado.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FFF6D8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Calibri" w:hAnsi="Calibri"/>
                <w:b/>
                <w:color w:val="0B5FA5"/>
                <w:sz w:val="20"/>
              </w:rPr>
              <w:t xml:space="preserve">Importante:  </w:t>
            </w:r>
            <w:r>
              <w:rPr>
                <w:rFonts w:ascii="Calibri" w:hAnsi="Calibri"/>
                <w:b w:val="0"/>
                <w:color w:val="102B4E"/>
                <w:sz w:val="20"/>
              </w:rPr>
              <w:t>Cada evento tiene sus propias bases, categorías, inscripciones y resultados. Verifique el nombre del evento antes de registrar información.</w:t>
            </w:r>
          </w:p>
        </w:tc>
      </w:tr>
    </w:tbl>
    <w:p>
      <w:pPr>
        <w:pStyle w:val="Heading1"/>
      </w:pPr>
      <w:r>
        <w:t>2. Descargar y revisar las bases</w:t>
      </w:r>
    </w:p>
    <w:p>
      <w:r>
        <w:t>En la página principal del evento ubique el recuadro “Bases del concurso” y pulse “Descargar bases en PDF”.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102B4E"/>
          <w:sz w:val="21"/>
        </w:rPr>
        <w:t>Lea las fechas, requisitos y categorías antes de completar el formulario.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102B4E"/>
          <w:sz w:val="21"/>
        </w:rPr>
        <w:t>Revise los criterios de evaluación y las reglas de desempate indicadas para ese evento.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102B4E"/>
          <w:sz w:val="21"/>
        </w:rPr>
        <w:t>Si el enlace no aparece, significa que las bases aún no fueron publicadas por la administración del evento.</w:t>
      </w:r>
    </w:p>
    <w:p>
      <w:pPr>
        <w:pStyle w:val="Heading1"/>
      </w:pPr>
      <w:r>
        <w:t>3. Registrar una institución</w:t>
      </w:r>
    </w:p>
    <w:p>
      <w:r>
        <w:t>Desde la página principal pulse “Registrar institución” o el menú “Inscripción”. Complete todos los campos solicitados con información correcta.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1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Datos de la institución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Registre nombre de la institución, gestión, director, celular, distrito y dirección. Si la gestión es pública, el campo promotor no corresponde.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2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Banda, reseña y niveles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Indique si participará con banda de música. Adjunte la reseña histórica en PDF, DOC o DOCX y registre cada nivel/modalidad con su código modular. Use “Agregar otro nivel” cuando corresponda.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3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Categorías de participación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Marque una o más categorías habilitadas en las que participará la institución.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4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Responsable y envío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Consigne el nombre y celular del responsable. Revise la información y pulse “Enviar inscripción”.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EAF3FA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Calibri" w:hAnsi="Calibri"/>
                <w:b/>
                <w:color w:val="0B5FA5"/>
                <w:sz w:val="20"/>
              </w:rPr>
              <w:t xml:space="preserve">Al finalizar:  </w:t>
            </w:r>
            <w:r>
              <w:rPr>
                <w:rFonts w:ascii="Calibri" w:hAnsi="Calibri"/>
                <w:b w:val="0"/>
                <w:color w:val="102B4E"/>
                <w:sz w:val="20"/>
              </w:rPr>
              <w:t>El sistema mostrará la Constancia de inscripción 2026. Guárdela o imprímala en PDF. Incluye el código de edición y un código QR.</w:t>
            </w:r>
          </w:p>
        </w:tc>
      </w:tr>
    </w:tbl>
    <w:p>
      <w:pPr>
        <w:pStyle w:val="Heading1"/>
      </w:pPr>
      <w:r>
        <w:t>4. Editar una inscripción ya enviada</w:t>
      </w:r>
    </w:p>
    <w:p>
      <w:r>
        <w:t>Una institución puede corregir sus datos usando el código de edición generado por el sistema. No necesita volver a registrarse.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1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Abra “Editar inscripción”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Desde el inicio del evento pulse “Editar inscripción”. También puede escanear el código QR que figura en la constancia.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2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Ingrese el código de edición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Escriba o pegue el código completo que recibió al realizar la inscripción.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3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Realice la corrección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Actualice solo los datos necesarios. Puede adjuntar una nueva reseña histórica o agregar niveles y categorías según estén habilitadas.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748"/>
            <w:shd w:fill="073B7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4</w:t>
            </w:r>
          </w:p>
        </w:tc>
        <w:tc>
          <w:tcPr>
            <w:tcW w:type="dxa" w:w="9043"/>
            <w:shd w:fill="F6F9FC"/>
            <w:tcMar>
              <w:top w:w="105" w:type="dxa"/>
              <w:start w:w="140" w:type="dxa"/>
              <w:bottom w:w="105" w:type="dxa"/>
              <w:end w:w="140" w:type="dxa"/>
            </w:tcMar>
          </w:tcPr>
          <w:p>
            <w:r>
              <w:rPr>
                <w:rFonts w:ascii="Calibri" w:hAnsi="Calibri"/>
                <w:b/>
                <w:color w:val="073B76"/>
                <w:sz w:val="22"/>
              </w:rPr>
              <w:t>Guarde los cambios</w:t>
            </w:r>
          </w:p>
          <w:p>
            <w:r>
              <w:rPr>
                <w:rFonts w:ascii="Calibri" w:hAnsi="Calibri"/>
                <w:b w:val="0"/>
                <w:color w:val="102B4E"/>
                <w:sz w:val="20"/>
              </w:rPr>
              <w:t>Pulse “Guardar cambios”. Si decide no modificar nada, utilice “Cancelar”.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FFF6D8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Calibri" w:hAnsi="Calibri"/>
                <w:b/>
                <w:color w:val="0B5FA5"/>
                <w:sz w:val="20"/>
              </w:rPr>
              <w:t xml:space="preserve">Recomendación:  </w:t>
            </w:r>
            <w:r>
              <w:rPr>
                <w:rFonts w:ascii="Calibri" w:hAnsi="Calibri"/>
                <w:b w:val="0"/>
                <w:color w:val="102B4E"/>
                <w:sz w:val="20"/>
              </w:rPr>
              <w:t>Guarde el código de edición en un lugar seguro. La UGEL no necesita su contraseña para recuperar el registro.</w:t>
            </w:r>
          </w:p>
        </w:tc>
      </w:tr>
    </w:tbl>
    <w:p>
      <w:pPr>
        <w:pStyle w:val="Heading1"/>
      </w:pPr>
      <w:r>
        <w:t>5. Consultar la tabla de posiciones</w:t>
      </w:r>
    </w:p>
    <w:p>
      <w:r>
        <w:t>Pulse “Tabla de posición” en el menú o “Ver posiciones” desde la página principal del evento.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102B4E"/>
          <w:sz w:val="21"/>
        </w:rPr>
        <w:t>Use el filtro para seleccionar una categoría específica o visualizar todas las categorías habilitadas.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102B4E"/>
          <w:sz w:val="21"/>
        </w:rPr>
        <w:t>Los resultados se muestran cuando todos los jurados asignados han completado su ficha de calificación.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102B4E"/>
          <w:sz w:val="21"/>
        </w:rPr>
        <w:t>Si una institución figura como pendiente, el sistema indicará cuántos jurados faltan completar.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102B4E"/>
          <w:sz w:val="21"/>
        </w:rPr>
        <w:t>Una institución marcada como N.P. (No se presentó) se muestra como observación y no recibe puntaje ni puesto.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102B4E"/>
          <w:sz w:val="21"/>
        </w:rPr>
        <w:t>En caso de empate, el orden se determina por el o los criterios de desempate configurados para el evento.</w:t>
      </w:r>
    </w:p>
    <w:p>
      <w:pPr>
        <w:pStyle w:val="Heading1"/>
      </w:pPr>
      <w:r>
        <w:t>6. Inscripciones fuera de plazo</w:t>
      </w:r>
    </w:p>
    <w:p>
      <w:r>
        <w:t>Según la configuración del evento, el formulario puede bloquearse al vencer la fecha límite o permitir una inscripción extemporánea. Cuando se permite la inscripción extemporánea, la constancia indicará que la participación será solo como asistente/participante y no ingresará a evaluación ni al ranking oficial.</w:t>
      </w:r>
    </w:p>
    <w:p>
      <w:pPr>
        <w:pStyle w:val="Heading1"/>
      </w:pPr>
      <w:r>
        <w:t>Lista final antes de enviar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604"/>
            <w:tcMar>
              <w:top w:w="70" w:type="dxa"/>
              <w:start w:w="110" w:type="dxa"/>
              <w:bottom w:w="70" w:type="dxa"/>
              <w:end w:w="70" w:type="dxa"/>
            </w:tcMar>
          </w:tcPr>
          <w:p>
            <w:r>
              <w:rPr>
                <w:rFonts w:ascii="Calibri" w:hAnsi="Calibri"/>
                <w:b/>
                <w:color w:val="E6AE00"/>
                <w:sz w:val="24"/>
              </w:rPr>
              <w:t>□</w:t>
            </w:r>
          </w:p>
        </w:tc>
        <w:tc>
          <w:tcPr>
            <w:tcW w:type="dxa" w:w="9187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r>
              <w:rPr>
                <w:rFonts w:ascii="Calibri" w:hAnsi="Calibri"/>
                <w:b w:val="0"/>
                <w:color w:val="102B4E"/>
                <w:sz w:val="20"/>
              </w:rPr>
              <w:t>Estoy dentro del año y evento correcto.</w:t>
            </w:r>
          </w:p>
        </w:tc>
      </w:tr>
      <w:tr>
        <w:tc>
          <w:tcPr>
            <w:tcW w:type="dxa" w:w="4939"/>
            <w:tcMar>
              <w:top w:w="70" w:type="dxa"/>
              <w:start w:w="110" w:type="dxa"/>
              <w:bottom w:w="70" w:type="dxa"/>
              <w:end w:w="70" w:type="dxa"/>
            </w:tcMar>
          </w:tcPr>
          <w:p>
            <w:r>
              <w:rPr>
                <w:rFonts w:ascii="Calibri" w:hAnsi="Calibri"/>
                <w:b/>
                <w:color w:val="E6AE00"/>
                <w:sz w:val="24"/>
              </w:rPr>
              <w:t>□</w:t>
            </w:r>
          </w:p>
        </w:tc>
        <w:tc>
          <w:tcPr>
            <w:tcW w:type="dxa" w:w="4939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r>
              <w:rPr>
                <w:rFonts w:ascii="Calibri" w:hAnsi="Calibri"/>
                <w:b w:val="0"/>
                <w:color w:val="102B4E"/>
                <w:sz w:val="20"/>
              </w:rPr>
              <w:t>Leí y descargué las bases correspondientes al evento.</w:t>
            </w:r>
          </w:p>
        </w:tc>
      </w:tr>
      <w:tr>
        <w:tc>
          <w:tcPr>
            <w:tcW w:type="dxa" w:w="4939"/>
            <w:tcMar>
              <w:top w:w="70" w:type="dxa"/>
              <w:start w:w="110" w:type="dxa"/>
              <w:bottom w:w="70" w:type="dxa"/>
              <w:end w:w="70" w:type="dxa"/>
            </w:tcMar>
          </w:tcPr>
          <w:p>
            <w:r>
              <w:rPr>
                <w:rFonts w:ascii="Calibri" w:hAnsi="Calibri"/>
                <w:b/>
                <w:color w:val="E6AE00"/>
                <w:sz w:val="24"/>
              </w:rPr>
              <w:t>□</w:t>
            </w:r>
          </w:p>
        </w:tc>
        <w:tc>
          <w:tcPr>
            <w:tcW w:type="dxa" w:w="4939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r>
              <w:rPr>
                <w:rFonts w:ascii="Calibri" w:hAnsi="Calibri"/>
                <w:b w:val="0"/>
                <w:color w:val="102B4E"/>
                <w:sz w:val="20"/>
              </w:rPr>
              <w:t>Los datos de institución, director y responsable son correctos.</w:t>
            </w:r>
          </w:p>
        </w:tc>
      </w:tr>
      <w:tr>
        <w:tc>
          <w:tcPr>
            <w:tcW w:type="dxa" w:w="4939"/>
            <w:tcMar>
              <w:top w:w="70" w:type="dxa"/>
              <w:start w:w="110" w:type="dxa"/>
              <w:bottom w:w="70" w:type="dxa"/>
              <w:end w:w="70" w:type="dxa"/>
            </w:tcMar>
          </w:tcPr>
          <w:p>
            <w:r>
              <w:rPr>
                <w:rFonts w:ascii="Calibri" w:hAnsi="Calibri"/>
                <w:b/>
                <w:color w:val="E6AE00"/>
                <w:sz w:val="24"/>
              </w:rPr>
              <w:t>□</w:t>
            </w:r>
          </w:p>
        </w:tc>
        <w:tc>
          <w:tcPr>
            <w:tcW w:type="dxa" w:w="4939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r>
              <w:rPr>
                <w:rFonts w:ascii="Calibri" w:hAnsi="Calibri"/>
                <w:b w:val="0"/>
                <w:color w:val="102B4E"/>
                <w:sz w:val="20"/>
              </w:rPr>
              <w:t>Registré correctamente los niveles, códigos modulares y categorías.</w:t>
            </w:r>
          </w:p>
        </w:tc>
      </w:tr>
      <w:tr>
        <w:tc>
          <w:tcPr>
            <w:tcW w:type="dxa" w:w="4939"/>
            <w:tcMar>
              <w:top w:w="70" w:type="dxa"/>
              <w:start w:w="110" w:type="dxa"/>
              <w:bottom w:w="70" w:type="dxa"/>
              <w:end w:w="70" w:type="dxa"/>
            </w:tcMar>
          </w:tcPr>
          <w:p>
            <w:r>
              <w:rPr>
                <w:rFonts w:ascii="Calibri" w:hAnsi="Calibri"/>
                <w:b/>
                <w:color w:val="E6AE00"/>
                <w:sz w:val="24"/>
              </w:rPr>
              <w:t>□</w:t>
            </w:r>
          </w:p>
        </w:tc>
        <w:tc>
          <w:tcPr>
            <w:tcW w:type="dxa" w:w="4939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r>
              <w:rPr>
                <w:rFonts w:ascii="Calibri" w:hAnsi="Calibri"/>
                <w:b w:val="0"/>
                <w:color w:val="102B4E"/>
                <w:sz w:val="20"/>
              </w:rPr>
              <w:t>Adjunté la reseña histórica si corresponde.</w:t>
            </w:r>
          </w:p>
        </w:tc>
      </w:tr>
      <w:tr>
        <w:tc>
          <w:tcPr>
            <w:tcW w:type="dxa" w:w="4939"/>
            <w:tcMar>
              <w:top w:w="70" w:type="dxa"/>
              <w:start w:w="110" w:type="dxa"/>
              <w:bottom w:w="70" w:type="dxa"/>
              <w:end w:w="70" w:type="dxa"/>
            </w:tcMar>
          </w:tcPr>
          <w:p>
            <w:r>
              <w:rPr>
                <w:rFonts w:ascii="Calibri" w:hAnsi="Calibri"/>
                <w:b/>
                <w:color w:val="E6AE00"/>
                <w:sz w:val="24"/>
              </w:rPr>
              <w:t>□</w:t>
            </w:r>
          </w:p>
        </w:tc>
        <w:tc>
          <w:tcPr>
            <w:tcW w:type="dxa" w:w="4939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r>
              <w:rPr>
                <w:rFonts w:ascii="Calibri" w:hAnsi="Calibri"/>
                <w:b w:val="0"/>
                <w:color w:val="102B4E"/>
                <w:sz w:val="20"/>
              </w:rPr>
              <w:t>Guardé la constancia y el código de edición.</w:t>
            </w:r>
          </w:p>
        </w:tc>
      </w:tr>
    </w:tbl>
    <w:p>
      <w:pPr>
        <w:pStyle w:val="Heading1"/>
      </w:pPr>
      <w:r>
        <w:t>Canales de orientación</w:t>
      </w:r>
    </w:p>
    <w:p>
      <w:r>
        <w:t>Para consultas sobre requisitos, plazos o categorías, comuníquese con la Unidad de Gestión Educativa Local Tambopata mediante los canales oficiales del evento. Para acceder al sistema institucional, use la opción “Intranet” solo si cuenta con autorización.</w:t>
      </w:r>
    </w:p>
    <w:p/>
    <w:p>
      <w:pPr>
        <w:jc w:val="center"/>
      </w:pPr>
      <w:r>
        <w:rPr>
          <w:rFonts w:ascii="Calibri" w:hAnsi="Calibri"/>
          <w:b/>
          <w:color w:val="0B5FA5"/>
          <w:sz w:val="18"/>
        </w:rPr>
        <w:t>SIRED - Sistema de Registro y Evaluación de Desfile</w:t>
      </w:r>
    </w:p>
    <w:p>
      <w:pPr>
        <w:jc w:val="center"/>
      </w:pPr>
      <w:r>
        <w:rPr>
          <w:rFonts w:ascii="Calibri" w:hAnsi="Calibri"/>
          <w:b w:val="0"/>
          <w:color w:val="5A6A7E"/>
          <w:sz w:val="16"/>
        </w:rPr>
        <w:t>UGEL Tambopata | Trabajando juntos por una educación de calidad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81" w:bottom="1080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5A6A7E"/>
        <w:sz w:val="16"/>
      </w:rPr>
      <w:t>Unidad de Gestión Educativa Local Tambopata  |  Sistema de Registro y Evaluación de Desfile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A6A7E"/>
        <w:sz w:val="16"/>
      </w:rPr>
      <w:t>SIRED  |  Manual público de uso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73B7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B5F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02B4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